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jc w:val="center"/>
        <w:rPr>
          <w:b/>
          <w:szCs w:val="21"/>
        </w:rPr>
      </w:pPr>
      <w:r>
        <w:rPr>
          <w:rFonts w:hint="eastAsia"/>
          <w:b/>
          <w:szCs w:val="21"/>
        </w:rPr>
        <w:t>表4</w:t>
      </w:r>
      <w:r>
        <w:rPr>
          <w:b/>
          <w:szCs w:val="21"/>
        </w:rPr>
        <w:t xml:space="preserve">  </w:t>
      </w:r>
      <w:r>
        <w:rPr>
          <w:rFonts w:hint="eastAsia"/>
          <w:b/>
          <w:szCs w:val="21"/>
        </w:rPr>
        <w:t>建设项目环境风险评价自查表</w:t>
      </w:r>
    </w:p>
    <w:tbl>
      <w:tblPr>
        <w:tblStyle w:val="7"/>
        <w:tblW w:w="858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"/>
        <w:gridCol w:w="1130"/>
        <w:gridCol w:w="1134"/>
        <w:gridCol w:w="279"/>
        <w:gridCol w:w="1422"/>
        <w:gridCol w:w="709"/>
        <w:gridCol w:w="708"/>
        <w:gridCol w:w="709"/>
        <w:gridCol w:w="709"/>
        <w:gridCol w:w="138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gridSpan w:val="2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工作内容</w:t>
            </w:r>
          </w:p>
        </w:tc>
        <w:tc>
          <w:tcPr>
            <w:tcW w:w="7054" w:type="dxa"/>
            <w:gridSpan w:val="8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完成情况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96" w:type="dxa"/>
            <w:vMerge w:val="restart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风</w:t>
            </w:r>
          </w:p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险</w:t>
            </w:r>
          </w:p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调</w:t>
            </w:r>
          </w:p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查</w:t>
            </w:r>
          </w:p>
        </w:tc>
        <w:tc>
          <w:tcPr>
            <w:tcW w:w="1130" w:type="dxa"/>
            <w:vMerge w:val="restart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危险物质</w:t>
            </w:r>
          </w:p>
        </w:tc>
        <w:tc>
          <w:tcPr>
            <w:tcW w:w="1134" w:type="dxa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名称</w:t>
            </w:r>
          </w:p>
        </w:tc>
        <w:tc>
          <w:tcPr>
            <w:tcW w:w="5920" w:type="dxa"/>
            <w:gridSpan w:val="7"/>
            <w:vAlign w:val="center"/>
          </w:tcPr>
          <w:p>
            <w:pPr>
              <w:contextualSpacing/>
              <w:jc w:val="center"/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z w:val="18"/>
                <w:szCs w:val="18"/>
                <w:lang w:val="en-US" w:eastAsia="zh-CN"/>
              </w:rPr>
              <w:t>汽油、柴油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96" w:type="dxa"/>
            <w:vMerge w:val="continue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存在总量/t</w:t>
            </w:r>
          </w:p>
        </w:tc>
        <w:tc>
          <w:tcPr>
            <w:tcW w:w="5920" w:type="dxa"/>
            <w:gridSpan w:val="7"/>
            <w:vAlign w:val="center"/>
          </w:tcPr>
          <w:p>
            <w:pPr>
              <w:contextualSpacing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z w:val="18"/>
                <w:szCs w:val="18"/>
                <w:lang w:val="en-US" w:eastAsia="zh-CN"/>
              </w:rPr>
              <w:t>96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96" w:type="dxa"/>
            <w:vMerge w:val="continue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0" w:type="dxa"/>
            <w:vMerge w:val="restart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环境敏</w:t>
            </w:r>
          </w:p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感性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大气</w:t>
            </w:r>
          </w:p>
        </w:tc>
        <w:tc>
          <w:tcPr>
            <w:tcW w:w="3118" w:type="dxa"/>
            <w:gridSpan w:val="4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500 m范围内人口数 </w:t>
            </w:r>
            <w:r>
              <w:rPr>
                <w:sz w:val="18"/>
                <w:szCs w:val="18"/>
                <w:u w:val="single"/>
              </w:rPr>
              <w:t xml:space="preserve"> </w:t>
            </w:r>
            <w:r>
              <w:rPr>
                <w:rFonts w:hint="eastAsia"/>
                <w:sz w:val="18"/>
                <w:szCs w:val="18"/>
                <w:u w:val="single"/>
                <w:lang w:val="en-US" w:eastAsia="zh-CN"/>
              </w:rPr>
              <w:t xml:space="preserve"> 约1000 </w:t>
            </w:r>
            <w:r>
              <w:rPr>
                <w:sz w:val="18"/>
                <w:szCs w:val="18"/>
                <w:u w:val="single"/>
              </w:rPr>
              <w:t xml:space="preserve"> </w:t>
            </w:r>
            <w:r>
              <w:rPr>
                <w:sz w:val="18"/>
                <w:szCs w:val="18"/>
              </w:rPr>
              <w:t>人</w:t>
            </w:r>
          </w:p>
        </w:tc>
        <w:tc>
          <w:tcPr>
            <w:tcW w:w="2802" w:type="dxa"/>
            <w:gridSpan w:val="3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km范围内人口数</w:t>
            </w:r>
            <w:r>
              <w:rPr>
                <w:sz w:val="18"/>
                <w:szCs w:val="18"/>
                <w:u w:val="single"/>
              </w:rPr>
              <w:t xml:space="preserve">   </w:t>
            </w:r>
            <w:r>
              <w:rPr>
                <w:sz w:val="18"/>
                <w:szCs w:val="18"/>
              </w:rPr>
              <w:t>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96" w:type="dxa"/>
            <w:vMerge w:val="continue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每公里管段周边 200 m 范围内人口数（最大）</w:t>
            </w:r>
          </w:p>
        </w:tc>
        <w:tc>
          <w:tcPr>
            <w:tcW w:w="1384" w:type="dxa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single"/>
              </w:rPr>
              <w:t xml:space="preserve">   </w:t>
            </w:r>
            <w:r>
              <w:rPr>
                <w:sz w:val="18"/>
                <w:szCs w:val="18"/>
              </w:rPr>
              <w:t>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96" w:type="dxa"/>
            <w:vMerge w:val="continue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地表水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地表水功能敏感性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F1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F2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1384" w:type="dxa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F3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96" w:type="dxa"/>
            <w:vMerge w:val="continue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环境敏感目标分级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S1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S2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1384" w:type="dxa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S3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96" w:type="dxa"/>
            <w:vMerge w:val="continue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地下水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地下水功能敏感性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G1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G2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1384" w:type="dxa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G3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96" w:type="dxa"/>
            <w:vMerge w:val="continue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包气带防污性能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D1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D2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1384" w:type="dxa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D3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gridSpan w:val="2"/>
            <w:vMerge w:val="restart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物质及工艺系</w:t>
            </w:r>
          </w:p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统危险性</w:t>
            </w:r>
          </w:p>
        </w:tc>
        <w:tc>
          <w:tcPr>
            <w:tcW w:w="1134" w:type="dxa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 值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contextualSpacing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Q</w:t>
            </w:r>
            <w:r>
              <w:rPr>
                <w:rFonts w:hAnsi="楷体" w:eastAsia="楷体"/>
                <w:sz w:val="18"/>
                <w:szCs w:val="18"/>
              </w:rPr>
              <w:t>＜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☑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1≤</w:t>
            </w:r>
            <w:r>
              <w:rPr>
                <w:rFonts w:hint="eastAsia"/>
                <w:sz w:val="18"/>
                <w:szCs w:val="18"/>
              </w:rPr>
              <w:t>Q</w:t>
            </w:r>
            <w:r>
              <w:rPr>
                <w:rFonts w:hAnsi="楷体" w:eastAsia="楷体"/>
                <w:sz w:val="18"/>
                <w:szCs w:val="18"/>
              </w:rPr>
              <w:t>＜</w:t>
            </w:r>
            <w:r>
              <w:rPr>
                <w:rFonts w:hint="eastAsia" w:hAnsi="楷体" w:eastAsia="楷体"/>
                <w:sz w:val="18"/>
                <w:szCs w:val="18"/>
              </w:rPr>
              <w:t>10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≤</w:t>
            </w:r>
            <w:r>
              <w:rPr>
                <w:rFonts w:hint="eastAsia"/>
                <w:sz w:val="18"/>
                <w:szCs w:val="18"/>
              </w:rPr>
              <w:t>Q</w:t>
            </w:r>
            <w:r>
              <w:rPr>
                <w:rFonts w:hAnsi="楷体" w:eastAsia="楷体"/>
                <w:sz w:val="18"/>
                <w:szCs w:val="18"/>
              </w:rPr>
              <w:t>＜</w:t>
            </w:r>
            <w:r>
              <w:rPr>
                <w:rFonts w:hint="eastAsia" w:hAnsi="楷体" w:eastAsia="楷体"/>
                <w:sz w:val="18"/>
                <w:szCs w:val="18"/>
              </w:rPr>
              <w:t>100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1384" w:type="dxa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</w:t>
            </w:r>
            <w:r>
              <w:rPr>
                <w:rFonts w:hAnsi="宋体"/>
                <w:sz w:val="18"/>
                <w:szCs w:val="18"/>
              </w:rPr>
              <w:t>＞</w:t>
            </w:r>
            <w:r>
              <w:rPr>
                <w:sz w:val="18"/>
                <w:szCs w:val="18"/>
              </w:rPr>
              <w:t>100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gridSpan w:val="2"/>
            <w:vMerge w:val="continue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 值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contextualSpacing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M1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M2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M3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1384" w:type="dxa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M4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gridSpan w:val="2"/>
            <w:vMerge w:val="continue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 值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P1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1384" w:type="dxa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gridSpan w:val="2"/>
            <w:vMerge w:val="restart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环境敏感程度</w:t>
            </w:r>
          </w:p>
        </w:tc>
        <w:tc>
          <w:tcPr>
            <w:tcW w:w="1134" w:type="dxa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大气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E1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093" w:type="dxa"/>
            <w:gridSpan w:val="2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gridSpan w:val="2"/>
            <w:vMerge w:val="continue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地表水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E1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093" w:type="dxa"/>
            <w:gridSpan w:val="2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gridSpan w:val="2"/>
            <w:vMerge w:val="continue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地下水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E1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093" w:type="dxa"/>
            <w:gridSpan w:val="2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gridSpan w:val="2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环境风险潜势</w:t>
            </w:r>
          </w:p>
        </w:tc>
        <w:tc>
          <w:tcPr>
            <w:tcW w:w="1413" w:type="dxa"/>
            <w:gridSpan w:val="2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IV </w:t>
            </w:r>
            <w:r>
              <w:rPr>
                <w:sz w:val="18"/>
                <w:szCs w:val="18"/>
                <w:vertAlign w:val="superscript"/>
              </w:rPr>
              <w:t>+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1422" w:type="dxa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IV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Ⅲ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1384" w:type="dxa"/>
            <w:vAlign w:val="center"/>
          </w:tcPr>
          <w:p>
            <w:pPr>
              <w:contextualSpacing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I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gridSpan w:val="2"/>
            <w:vAlign w:val="center"/>
          </w:tcPr>
          <w:p>
            <w:pPr>
              <w:contextualSpacing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评价等级</w:t>
            </w:r>
          </w:p>
        </w:tc>
        <w:tc>
          <w:tcPr>
            <w:tcW w:w="2835" w:type="dxa"/>
            <w:gridSpan w:val="3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一级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二级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三级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1384" w:type="dxa"/>
            <w:vAlign w:val="center"/>
          </w:tcPr>
          <w:p>
            <w:pPr>
              <w:contextualSpacing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简单分析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96" w:type="dxa"/>
            <w:vMerge w:val="restart"/>
            <w:vAlign w:val="center"/>
          </w:tcPr>
          <w:p>
            <w:pPr>
              <w:contextualSpacing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风险识别</w:t>
            </w:r>
          </w:p>
        </w:tc>
        <w:tc>
          <w:tcPr>
            <w:tcW w:w="1130" w:type="dxa"/>
            <w:vAlign w:val="center"/>
          </w:tcPr>
          <w:p>
            <w:pPr>
              <w:contextualSpacing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物质危险性</w:t>
            </w:r>
          </w:p>
        </w:tc>
        <w:tc>
          <w:tcPr>
            <w:tcW w:w="3544" w:type="dxa"/>
            <w:gridSpan w:val="4"/>
            <w:vAlign w:val="center"/>
          </w:tcPr>
          <w:p>
            <w:pPr>
              <w:contextualSpacing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有毒有害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3510" w:type="dxa"/>
            <w:gridSpan w:val="4"/>
            <w:vAlign w:val="center"/>
          </w:tcPr>
          <w:p>
            <w:pPr>
              <w:contextualSpacing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易燃易爆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396" w:type="dxa"/>
            <w:vMerge w:val="continue"/>
            <w:vAlign w:val="center"/>
          </w:tcPr>
          <w:p>
            <w:pPr>
              <w:contextualSpacing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130" w:type="dxa"/>
            <w:vAlign w:val="center"/>
          </w:tcPr>
          <w:p>
            <w:pPr>
              <w:contextualSpacing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环境风险</w:t>
            </w:r>
          </w:p>
          <w:p>
            <w:pPr>
              <w:contextualSpacing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类型</w:t>
            </w:r>
          </w:p>
        </w:tc>
        <w:tc>
          <w:tcPr>
            <w:tcW w:w="2835" w:type="dxa"/>
            <w:gridSpan w:val="3"/>
            <w:vAlign w:val="center"/>
          </w:tcPr>
          <w:p>
            <w:pPr>
              <w:contextualSpacing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泄漏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☑</w:t>
            </w:r>
          </w:p>
        </w:tc>
        <w:tc>
          <w:tcPr>
            <w:tcW w:w="4219" w:type="dxa"/>
            <w:gridSpan w:val="5"/>
            <w:vAlign w:val="center"/>
          </w:tcPr>
          <w:p>
            <w:pPr>
              <w:contextualSpacing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火灾、爆炸引发伴生/次生污染物排放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96" w:type="dxa"/>
            <w:vMerge w:val="continue"/>
            <w:vAlign w:val="center"/>
          </w:tcPr>
          <w:p>
            <w:pPr>
              <w:contextualSpacing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130" w:type="dxa"/>
            <w:vAlign w:val="center"/>
          </w:tcPr>
          <w:p>
            <w:pPr>
              <w:contextualSpacing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影响途径</w:t>
            </w:r>
          </w:p>
        </w:tc>
        <w:tc>
          <w:tcPr>
            <w:tcW w:w="2835" w:type="dxa"/>
            <w:gridSpan w:val="3"/>
            <w:vAlign w:val="center"/>
          </w:tcPr>
          <w:p>
            <w:pPr>
              <w:contextualSpacing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大气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contextualSpacing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地表水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☑</w:t>
            </w:r>
          </w:p>
        </w:tc>
        <w:tc>
          <w:tcPr>
            <w:tcW w:w="2093" w:type="dxa"/>
            <w:gridSpan w:val="2"/>
            <w:vAlign w:val="center"/>
          </w:tcPr>
          <w:p>
            <w:pPr>
              <w:contextualSpacing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地下水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gridSpan w:val="2"/>
            <w:vAlign w:val="center"/>
          </w:tcPr>
          <w:p>
            <w:pPr>
              <w:contextualSpacing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事故情形分析</w:t>
            </w:r>
          </w:p>
        </w:tc>
        <w:tc>
          <w:tcPr>
            <w:tcW w:w="1413" w:type="dxa"/>
            <w:gridSpan w:val="2"/>
            <w:vAlign w:val="center"/>
          </w:tcPr>
          <w:p>
            <w:pPr>
              <w:contextualSpacing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源强设定方法</w:t>
            </w:r>
          </w:p>
        </w:tc>
        <w:tc>
          <w:tcPr>
            <w:tcW w:w="1422" w:type="dxa"/>
            <w:vAlign w:val="center"/>
          </w:tcPr>
          <w:p>
            <w:pPr>
              <w:contextualSpacing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计算法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contextualSpacing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经验估算法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093" w:type="dxa"/>
            <w:gridSpan w:val="2"/>
            <w:vAlign w:val="center"/>
          </w:tcPr>
          <w:p>
            <w:pPr>
              <w:contextualSpacing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其他估算法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96" w:type="dxa"/>
            <w:vMerge w:val="restart"/>
            <w:vAlign w:val="center"/>
          </w:tcPr>
          <w:p>
            <w:pPr>
              <w:contextualSpacing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风</w:t>
            </w:r>
          </w:p>
          <w:p>
            <w:pPr>
              <w:contextualSpacing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险</w:t>
            </w:r>
          </w:p>
          <w:p>
            <w:pPr>
              <w:contextualSpacing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预</w:t>
            </w:r>
          </w:p>
          <w:p>
            <w:pPr>
              <w:contextualSpacing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测</w:t>
            </w:r>
          </w:p>
          <w:p>
            <w:pPr>
              <w:contextualSpacing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与</w:t>
            </w:r>
          </w:p>
          <w:p>
            <w:pPr>
              <w:contextualSpacing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评</w:t>
            </w:r>
          </w:p>
          <w:p>
            <w:pPr>
              <w:contextualSpacing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价</w:t>
            </w:r>
          </w:p>
        </w:tc>
        <w:tc>
          <w:tcPr>
            <w:tcW w:w="1130" w:type="dxa"/>
            <w:vMerge w:val="restart"/>
            <w:vAlign w:val="center"/>
          </w:tcPr>
          <w:p>
            <w:pPr>
              <w:contextualSpacing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大气</w:t>
            </w:r>
          </w:p>
        </w:tc>
        <w:tc>
          <w:tcPr>
            <w:tcW w:w="1413" w:type="dxa"/>
            <w:gridSpan w:val="2"/>
            <w:vAlign w:val="center"/>
          </w:tcPr>
          <w:p>
            <w:pPr>
              <w:contextualSpacing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预测模型</w:t>
            </w:r>
          </w:p>
        </w:tc>
        <w:tc>
          <w:tcPr>
            <w:tcW w:w="1422" w:type="dxa"/>
            <w:vAlign w:val="center"/>
          </w:tcPr>
          <w:p>
            <w:pPr>
              <w:contextualSpacing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SLAB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contextualSpacing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AFTOX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093" w:type="dxa"/>
            <w:gridSpan w:val="2"/>
            <w:vAlign w:val="center"/>
          </w:tcPr>
          <w:p>
            <w:pPr>
              <w:contextualSpacing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其他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96" w:type="dxa"/>
            <w:vMerge w:val="continue"/>
            <w:vAlign w:val="center"/>
          </w:tcPr>
          <w:p>
            <w:pPr>
              <w:contextualSpacing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contextualSpacing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13" w:type="dxa"/>
            <w:gridSpan w:val="2"/>
            <w:vMerge w:val="restart"/>
            <w:vAlign w:val="center"/>
          </w:tcPr>
          <w:p>
            <w:pPr>
              <w:contextualSpacing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预测结果</w:t>
            </w:r>
          </w:p>
        </w:tc>
        <w:tc>
          <w:tcPr>
            <w:tcW w:w="5641" w:type="dxa"/>
            <w:gridSpan w:val="6"/>
            <w:vAlign w:val="center"/>
          </w:tcPr>
          <w:p>
            <w:pPr>
              <w:contextualSpacing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大气毒性终点浓度-1 最大影响范围</w:t>
            </w:r>
            <w:r>
              <w:rPr>
                <w:rFonts w:hint="eastAsia"/>
                <w:sz w:val="18"/>
                <w:szCs w:val="18"/>
                <w:u w:val="single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m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96" w:type="dxa"/>
            <w:vMerge w:val="continue"/>
            <w:vAlign w:val="center"/>
          </w:tcPr>
          <w:p>
            <w:pPr>
              <w:contextualSpacing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contextualSpacing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13" w:type="dxa"/>
            <w:gridSpan w:val="2"/>
            <w:vMerge w:val="continue"/>
            <w:vAlign w:val="center"/>
          </w:tcPr>
          <w:p>
            <w:pPr>
              <w:contextualSpacing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5641" w:type="dxa"/>
            <w:gridSpan w:val="6"/>
            <w:vAlign w:val="center"/>
          </w:tcPr>
          <w:p>
            <w:pPr>
              <w:contextualSpacing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大气毒性终点浓度-2 最大影响范围</w:t>
            </w:r>
            <w:r>
              <w:rPr>
                <w:rFonts w:hint="eastAsia"/>
                <w:sz w:val="18"/>
                <w:szCs w:val="18"/>
                <w:u w:val="single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m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96" w:type="dxa"/>
            <w:vMerge w:val="continue"/>
            <w:vAlign w:val="center"/>
          </w:tcPr>
          <w:p>
            <w:pPr>
              <w:contextualSpacing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130" w:type="dxa"/>
            <w:vAlign w:val="center"/>
          </w:tcPr>
          <w:p>
            <w:pPr>
              <w:contextualSpacing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地表水</w:t>
            </w:r>
          </w:p>
        </w:tc>
        <w:tc>
          <w:tcPr>
            <w:tcW w:w="7054" w:type="dxa"/>
            <w:gridSpan w:val="8"/>
            <w:vAlign w:val="center"/>
          </w:tcPr>
          <w:p>
            <w:pPr>
              <w:contextualSpacing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最近环境敏感目标</w:t>
            </w:r>
            <w:r>
              <w:rPr>
                <w:rFonts w:hint="eastAsia"/>
                <w:sz w:val="18"/>
                <w:szCs w:val="18"/>
                <w:u w:val="single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，到达时间</w:t>
            </w:r>
            <w:r>
              <w:rPr>
                <w:rFonts w:hint="eastAsia"/>
                <w:sz w:val="18"/>
                <w:szCs w:val="18"/>
                <w:u w:val="single"/>
              </w:rPr>
              <w:t xml:space="preserve">     </w:t>
            </w:r>
            <w:r>
              <w:rPr>
                <w:rFonts w:hint="eastAsia"/>
                <w:sz w:val="18"/>
                <w:szCs w:val="18"/>
              </w:rPr>
              <w:t xml:space="preserve"> h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96" w:type="dxa"/>
            <w:vMerge w:val="continue"/>
            <w:vAlign w:val="center"/>
          </w:tcPr>
          <w:p>
            <w:pPr>
              <w:contextualSpacing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130" w:type="dxa"/>
            <w:vMerge w:val="restart"/>
            <w:vAlign w:val="center"/>
          </w:tcPr>
          <w:p>
            <w:pPr>
              <w:contextualSpacing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地下水</w:t>
            </w:r>
          </w:p>
        </w:tc>
        <w:tc>
          <w:tcPr>
            <w:tcW w:w="7054" w:type="dxa"/>
            <w:gridSpan w:val="8"/>
            <w:vAlign w:val="center"/>
          </w:tcPr>
          <w:p>
            <w:pPr>
              <w:contextualSpacing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下游厂区边界到达时间</w:t>
            </w:r>
            <w:r>
              <w:rPr>
                <w:rFonts w:hint="eastAsia"/>
                <w:sz w:val="18"/>
                <w:szCs w:val="18"/>
                <w:u w:val="single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 xml:space="preserve"> d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96" w:type="dxa"/>
            <w:vMerge w:val="continue"/>
            <w:vAlign w:val="center"/>
          </w:tcPr>
          <w:p>
            <w:pPr>
              <w:contextualSpacing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contextualSpacing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7054" w:type="dxa"/>
            <w:gridSpan w:val="8"/>
            <w:vAlign w:val="center"/>
          </w:tcPr>
          <w:p>
            <w:pPr>
              <w:contextualSpacing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最近环境敏感目标</w:t>
            </w:r>
            <w:r>
              <w:rPr>
                <w:rFonts w:hint="eastAsia"/>
                <w:sz w:val="18"/>
                <w:szCs w:val="18"/>
                <w:u w:val="single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，到达时间</w:t>
            </w:r>
            <w:r>
              <w:rPr>
                <w:rFonts w:hint="eastAsia"/>
                <w:sz w:val="18"/>
                <w:szCs w:val="18"/>
                <w:u w:val="single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 xml:space="preserve"> d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1526" w:type="dxa"/>
            <w:gridSpan w:val="2"/>
            <w:vAlign w:val="center"/>
          </w:tcPr>
          <w:p>
            <w:pPr>
              <w:contextualSpacing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重点风险防范</w:t>
            </w:r>
          </w:p>
          <w:p>
            <w:pPr>
              <w:contextualSpacing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措施</w:t>
            </w:r>
          </w:p>
        </w:tc>
        <w:tc>
          <w:tcPr>
            <w:tcW w:w="7054" w:type="dxa"/>
            <w:gridSpan w:val="8"/>
            <w:vAlign w:val="center"/>
          </w:tcPr>
          <w:p>
            <w:pPr>
              <w:contextualSpacing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建设单位严格按照安全规范及国家相关规定对</w:t>
            </w:r>
            <w:bookmarkStart w:id="0" w:name="_GoBack"/>
            <w:bookmarkEnd w:id="0"/>
            <w:r>
              <w:rPr>
                <w:rFonts w:hint="eastAsia" w:ascii="Times New Roman" w:hAnsi="Times New Roman" w:cs="Times New Roman"/>
                <w:sz w:val="18"/>
                <w:szCs w:val="18"/>
              </w:rPr>
              <w:t>厂区内原辅材料、各类固体废物的贮存、使用、运输加强管理，对隐患坚决消除，并且按照相关管理部门要求做好各类事故的防范和应急措施，使建设项目的环境风险发生的几率控制在最小水平，使得建设项目对周围环境的影响得到控制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1526" w:type="dxa"/>
            <w:gridSpan w:val="2"/>
            <w:vAlign w:val="center"/>
          </w:tcPr>
          <w:p>
            <w:pPr>
              <w:contextualSpacing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评价结论与建议</w:t>
            </w:r>
          </w:p>
        </w:tc>
        <w:tc>
          <w:tcPr>
            <w:tcW w:w="7054" w:type="dxa"/>
            <w:gridSpan w:val="8"/>
            <w:vAlign w:val="center"/>
          </w:tcPr>
          <w:p>
            <w:pPr>
              <w:contextualSpacing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本项目环境风险潜势为Ⅰ，通过采取相应的风险防范措施，项目的环境风险可控。</w:t>
            </w:r>
          </w:p>
          <w:p>
            <w:pPr>
              <w:contextualSpacing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一旦发生事故，建设单位应立即执行事故应急预案，采取合理的事故应急处理措施，将事故影响降到最低限度。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80" w:type="dxa"/>
            <w:gridSpan w:val="10"/>
            <w:vAlign w:val="center"/>
          </w:tcPr>
          <w:p>
            <w:pPr>
              <w:contextualSpacing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注：“□”为勾选项，“</w:t>
            </w:r>
            <w:r>
              <w:rPr>
                <w:rFonts w:hint="eastAsia"/>
                <w:sz w:val="18"/>
                <w:szCs w:val="18"/>
                <w:u w:val="single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”为填写项。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148"/>
    <w:rsid w:val="000A1E93"/>
    <w:rsid w:val="000A6739"/>
    <w:rsid w:val="00134011"/>
    <w:rsid w:val="001E75C8"/>
    <w:rsid w:val="00205D10"/>
    <w:rsid w:val="002875BA"/>
    <w:rsid w:val="002B202C"/>
    <w:rsid w:val="002C1906"/>
    <w:rsid w:val="003308FC"/>
    <w:rsid w:val="004410EE"/>
    <w:rsid w:val="00461336"/>
    <w:rsid w:val="00491FF1"/>
    <w:rsid w:val="004A0B0E"/>
    <w:rsid w:val="005076DB"/>
    <w:rsid w:val="00522798"/>
    <w:rsid w:val="005366E7"/>
    <w:rsid w:val="005E004A"/>
    <w:rsid w:val="005E5936"/>
    <w:rsid w:val="005F46BE"/>
    <w:rsid w:val="00622B5B"/>
    <w:rsid w:val="00636DCC"/>
    <w:rsid w:val="00685056"/>
    <w:rsid w:val="006A6D06"/>
    <w:rsid w:val="006C61D1"/>
    <w:rsid w:val="00765148"/>
    <w:rsid w:val="007850F5"/>
    <w:rsid w:val="007C0766"/>
    <w:rsid w:val="007C477F"/>
    <w:rsid w:val="00803E65"/>
    <w:rsid w:val="008C7769"/>
    <w:rsid w:val="008D2A31"/>
    <w:rsid w:val="00927003"/>
    <w:rsid w:val="00947AA3"/>
    <w:rsid w:val="009C0410"/>
    <w:rsid w:val="00A10760"/>
    <w:rsid w:val="00A122C8"/>
    <w:rsid w:val="00A61822"/>
    <w:rsid w:val="00A73FD3"/>
    <w:rsid w:val="00A7433C"/>
    <w:rsid w:val="00AC7434"/>
    <w:rsid w:val="00AE131F"/>
    <w:rsid w:val="00C734C2"/>
    <w:rsid w:val="00CC667D"/>
    <w:rsid w:val="00D41BC1"/>
    <w:rsid w:val="00D62DD7"/>
    <w:rsid w:val="00DC10CC"/>
    <w:rsid w:val="00DC7080"/>
    <w:rsid w:val="00E41082"/>
    <w:rsid w:val="00E53693"/>
    <w:rsid w:val="00E609CD"/>
    <w:rsid w:val="00F10F79"/>
    <w:rsid w:val="00F20F21"/>
    <w:rsid w:val="00F96620"/>
    <w:rsid w:val="00FF6610"/>
    <w:rsid w:val="018254B0"/>
    <w:rsid w:val="2C3F7F31"/>
    <w:rsid w:val="36491D56"/>
    <w:rsid w:val="422D7413"/>
    <w:rsid w:val="6E770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rPr>
      <w:rFonts w:eastAsia="仿宋_GB2312"/>
      <w:sz w:val="30"/>
      <w:szCs w:val="20"/>
    </w:rPr>
  </w:style>
  <w:style w:type="paragraph" w:customStyle="1" w:styleId="3">
    <w:name w:val="xl2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Arial Unicode MS"/>
      <w:kern w:val="0"/>
      <w:sz w:val="24"/>
    </w:rPr>
  </w:style>
  <w:style w:type="paragraph" w:styleId="4">
    <w:name w:val="annotation text"/>
    <w:basedOn w:val="1"/>
    <w:link w:val="10"/>
    <w:unhideWhenUsed/>
    <w:qFormat/>
    <w:uiPriority w:val="0"/>
    <w:pPr>
      <w:jc w:val="left"/>
    </w:pPr>
    <w:rPr>
      <w:szCs w:val="20"/>
    </w:rPr>
  </w:style>
  <w:style w:type="paragraph" w:styleId="5">
    <w:name w:val="Balloon Text"/>
    <w:basedOn w:val="1"/>
    <w:link w:val="11"/>
    <w:qFormat/>
    <w:uiPriority w:val="0"/>
    <w:rPr>
      <w:sz w:val="18"/>
      <w:szCs w:val="18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annotation reference"/>
    <w:unhideWhenUsed/>
    <w:qFormat/>
    <w:uiPriority w:val="0"/>
    <w:rPr>
      <w:sz w:val="21"/>
      <w:szCs w:val="21"/>
    </w:rPr>
  </w:style>
  <w:style w:type="character" w:customStyle="1" w:styleId="10">
    <w:name w:val="批注文字 Char"/>
    <w:basedOn w:val="8"/>
    <w:link w:val="4"/>
    <w:qFormat/>
    <w:uiPriority w:val="0"/>
    <w:rPr>
      <w:kern w:val="2"/>
      <w:sz w:val="21"/>
    </w:rPr>
  </w:style>
  <w:style w:type="character" w:customStyle="1" w:styleId="11">
    <w:name w:val="批注框文本 Char"/>
    <w:basedOn w:val="8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116</Words>
  <Characters>663</Characters>
  <Lines>5</Lines>
  <Paragraphs>1</Paragraphs>
  <TotalTime>8</TotalTime>
  <ScaleCrop>false</ScaleCrop>
  <LinksUpToDate>false</LinksUpToDate>
  <CharactersWithSpaces>778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2019-04-11T03:14:00Z</dcterms:created>
  <dc:creator>lenovo</dc:creator>
  <cp:lastModifiedBy>昼即日升</cp:lastModifiedBy>
  <dcterms:modified xsi:type="dcterms:W3CDTF">2020-05-20T10:26:02Z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